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466C" w14:textId="5B37A1E5" w:rsidR="00B0747E" w:rsidRPr="00E246CF" w:rsidRDefault="00B0747E" w:rsidP="00E246CF">
      <w:pPr>
        <w:shd w:val="clear" w:color="auto" w:fill="FFFFFF"/>
        <w:spacing w:line="264" w:lineRule="auto"/>
        <w:rPr>
          <w:rFonts w:ascii="Arial" w:eastAsia="Times New Roman" w:hAnsi="Arial" w:cs="Arial"/>
          <w:color w:val="333333"/>
          <w:sz w:val="22"/>
          <w:szCs w:val="22"/>
        </w:rPr>
      </w:pPr>
      <w:r w:rsidRPr="00E246CF">
        <w:rPr>
          <w:rFonts w:ascii="Arial" w:eastAsia="Times New Roman" w:hAnsi="Arial" w:cs="Arial"/>
          <w:color w:val="333333"/>
          <w:sz w:val="22"/>
          <w:szCs w:val="22"/>
        </w:rPr>
        <w:t xml:space="preserve">Clearinghouse </w:t>
      </w:r>
      <w:r w:rsidR="00246314">
        <w:rPr>
          <w:rFonts w:ascii="Arial" w:eastAsia="Times New Roman" w:hAnsi="Arial" w:cs="Arial"/>
          <w:color w:val="333333"/>
          <w:sz w:val="22"/>
          <w:szCs w:val="22"/>
        </w:rPr>
        <w:t>Information and inst</w:t>
      </w:r>
      <w:r w:rsidR="00C0570B">
        <w:rPr>
          <w:rFonts w:ascii="Arial" w:eastAsia="Times New Roman" w:hAnsi="Arial" w:cs="Arial"/>
          <w:color w:val="333333"/>
          <w:sz w:val="22"/>
          <w:szCs w:val="22"/>
        </w:rPr>
        <w:t>r</w:t>
      </w:r>
      <w:r w:rsidR="00246314">
        <w:rPr>
          <w:rFonts w:ascii="Arial" w:eastAsia="Times New Roman" w:hAnsi="Arial" w:cs="Arial"/>
          <w:color w:val="333333"/>
          <w:sz w:val="22"/>
          <w:szCs w:val="22"/>
        </w:rPr>
        <w:t>uctions</w:t>
      </w:r>
    </w:p>
    <w:p w14:paraId="35A21854" w14:textId="77777777" w:rsidR="00B0747E" w:rsidRPr="00E246CF" w:rsidRDefault="00B0747E" w:rsidP="00E246CF">
      <w:pPr>
        <w:shd w:val="clear" w:color="auto" w:fill="FFFFFF"/>
        <w:spacing w:line="264" w:lineRule="auto"/>
        <w:rPr>
          <w:rFonts w:ascii="Arial" w:eastAsia="Times New Roman" w:hAnsi="Arial" w:cs="Arial"/>
          <w:color w:val="333333"/>
          <w:sz w:val="22"/>
          <w:szCs w:val="22"/>
        </w:rPr>
      </w:pPr>
    </w:p>
    <w:p w14:paraId="5523C26C" w14:textId="46178B6F" w:rsidR="00B0747E" w:rsidRDefault="00C0570B" w:rsidP="00DD4564">
      <w:p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The federal </w:t>
      </w:r>
      <w:r w:rsidR="00B0747E" w:rsidRPr="00C0570B">
        <w:rPr>
          <w:rFonts w:ascii="Arial" w:eastAsia="Times New Roman" w:hAnsi="Arial" w:cs="Arial"/>
          <w:color w:val="000000" w:themeColor="text1"/>
          <w:sz w:val="22"/>
          <w:szCs w:val="22"/>
        </w:rPr>
        <w:t>Drug &amp; Alcohol Clearinghouse</w:t>
      </w:r>
      <w:r w:rsidR="00273A8E" w:rsidRPr="00C0570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C0570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takes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e</w:t>
      </w:r>
      <w:r w:rsidRPr="00C0570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ffect in January 2020. </w:t>
      </w:r>
      <w:r w:rsidR="00273A8E" w:rsidRPr="00273A8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This </w:t>
      </w:r>
      <w:r w:rsidR="00DD4564" w:rsidRPr="00DD4564">
        <w:rPr>
          <w:rFonts w:ascii="Arial" w:eastAsia="Times New Roman" w:hAnsi="Arial" w:cs="Arial"/>
          <w:color w:val="000000" w:themeColor="text1"/>
          <w:sz w:val="22"/>
          <w:szCs w:val="22"/>
        </w:rPr>
        <w:t>link</w:t>
      </w:r>
      <w:r w:rsidR="00DD4564">
        <w:t xml:space="preserve"> </w:t>
      </w:r>
      <w:r w:rsidR="00273A8E">
        <w:t>will lead you to the registration page at FMCSA.</w:t>
      </w:r>
      <w:r w:rsidRPr="00C0570B">
        <w:t xml:space="preserve"> </w:t>
      </w:r>
      <w:hyperlink r:id="rId5" w:history="1">
        <w:r>
          <w:rPr>
            <w:rStyle w:val="Hyperlink"/>
          </w:rPr>
          <w:t>https://clearinghouse.fmcsa.dot.gov/</w:t>
        </w:r>
      </w:hyperlink>
    </w:p>
    <w:p w14:paraId="7EF1DB2E" w14:textId="77777777" w:rsidR="00DD4564" w:rsidRPr="00DD4564" w:rsidRDefault="00DD4564" w:rsidP="00DD4564"/>
    <w:p w14:paraId="57E67968" w14:textId="365E6BAA" w:rsidR="00B0747E" w:rsidRPr="00B0747E" w:rsidRDefault="00DD4564" w:rsidP="00E246CF">
      <w:pPr>
        <w:shd w:val="clear" w:color="auto" w:fill="FFFFFF"/>
        <w:spacing w:after="360" w:line="264" w:lineRule="auto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The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agency has been diligently preparing for Jan. 6, 2020, when use of the clearinghouse becomes </w:t>
      </w:r>
      <w:r w:rsidR="00B0747E" w:rsidRPr="00273A8E">
        <w:rPr>
          <w:rFonts w:ascii="Arial" w:eastAsia="Times New Roman" w:hAnsi="Arial" w:cs="Arial"/>
          <w:b/>
          <w:bCs/>
          <w:color w:val="333333"/>
          <w:sz w:val="22"/>
          <w:szCs w:val="22"/>
        </w:rPr>
        <w:t>mandatory to report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and </w:t>
      </w:r>
      <w:r w:rsidR="00B0747E" w:rsidRPr="00273A8E">
        <w:rPr>
          <w:rFonts w:ascii="Arial" w:eastAsia="Times New Roman" w:hAnsi="Arial" w:cs="Arial"/>
          <w:b/>
          <w:bCs/>
          <w:color w:val="333333"/>
          <w:sz w:val="22"/>
          <w:szCs w:val="22"/>
        </w:rPr>
        <w:t>query information about driver drug and alcohol program violations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by holders of commercial driver licenses. Employers must conduct </w:t>
      </w:r>
      <w:r w:rsidR="00B0747E" w:rsidRPr="00DD4564">
        <w:rPr>
          <w:rFonts w:ascii="Arial" w:eastAsia="Times New Roman" w:hAnsi="Arial" w:cs="Arial"/>
          <w:b/>
          <w:bCs/>
          <w:color w:val="333333"/>
          <w:sz w:val="22"/>
          <w:szCs w:val="22"/>
        </w:rPr>
        <w:t>both electronic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queries within the clearinghouse </w:t>
      </w:r>
      <w:r w:rsidR="00B0747E" w:rsidRPr="00DD4564">
        <w:rPr>
          <w:rFonts w:ascii="Arial" w:eastAsia="Times New Roman" w:hAnsi="Arial" w:cs="Arial"/>
          <w:b/>
          <w:bCs/>
          <w:color w:val="333333"/>
          <w:sz w:val="22"/>
          <w:szCs w:val="22"/>
        </w:rPr>
        <w:t>and manual inquiries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with previous employers to cover the preceding t</w:t>
      </w:r>
      <w:r w:rsidR="00C0570B">
        <w:rPr>
          <w:rFonts w:ascii="Arial" w:eastAsia="Times New Roman" w:hAnsi="Arial" w:cs="Arial"/>
          <w:color w:val="333333"/>
          <w:sz w:val="22"/>
          <w:szCs w:val="22"/>
        </w:rPr>
        <w:t>wo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years. </w:t>
      </w:r>
      <w:r w:rsidR="00C0570B">
        <w:rPr>
          <w:rFonts w:ascii="Arial" w:eastAsia="Times New Roman" w:hAnsi="Arial" w:cs="Arial"/>
          <w:color w:val="333333"/>
          <w:sz w:val="22"/>
          <w:szCs w:val="22"/>
        </w:rPr>
        <w:t>B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>eginning on Jan. 6, 2023, employers will only have to query the clearinghouse and be able to stop making manual inquiries.</w:t>
      </w:r>
    </w:p>
    <w:p w14:paraId="6A8B4F92" w14:textId="77777777" w:rsidR="00D2631B" w:rsidRPr="00B0747E" w:rsidRDefault="00D2631B" w:rsidP="00D2631B">
      <w:pPr>
        <w:shd w:val="clear" w:color="auto" w:fill="FFFFFF"/>
        <w:spacing w:line="264" w:lineRule="auto"/>
        <w:rPr>
          <w:rFonts w:ascii="Arial" w:eastAsia="Times New Roman" w:hAnsi="Arial" w:cs="Arial"/>
          <w:color w:val="333333"/>
          <w:sz w:val="22"/>
          <w:szCs w:val="22"/>
        </w:rPr>
      </w:pPr>
    </w:p>
    <w:p w14:paraId="7F156F9B" w14:textId="5F553AD6" w:rsidR="00B0747E" w:rsidRDefault="00273A8E" w:rsidP="00E246CF">
      <w:pPr>
        <w:shd w:val="clear" w:color="auto" w:fill="FFFFFF"/>
        <w:spacing w:line="264" w:lineRule="auto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The following </w:t>
      </w:r>
      <w:r w:rsidRPr="00B0747E">
        <w:rPr>
          <w:rFonts w:ascii="Arial" w:eastAsia="Times New Roman" w:hAnsi="Arial" w:cs="Arial"/>
          <w:color w:val="333333"/>
          <w:sz w:val="22"/>
          <w:szCs w:val="22"/>
        </w:rPr>
        <w:t>ten highlights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are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listed on 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>the </w:t>
      </w:r>
      <w:r w:rsidR="00B0747E" w:rsidRPr="00273A8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</w:rPr>
        <w:t>FMCSA Drug &amp; Alcohol Clearinghouse information site</w:t>
      </w:r>
      <w:r w:rsidR="00B0747E" w:rsidRPr="00273A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:</w:t>
      </w:r>
    </w:p>
    <w:p w14:paraId="63BF1B07" w14:textId="77777777" w:rsidR="00C0570B" w:rsidRPr="00B0747E" w:rsidRDefault="00C0570B" w:rsidP="00E246CF">
      <w:pPr>
        <w:shd w:val="clear" w:color="auto" w:fill="FFFFFF"/>
        <w:spacing w:line="264" w:lineRule="auto"/>
        <w:rPr>
          <w:rFonts w:ascii="Arial" w:eastAsia="Times New Roman" w:hAnsi="Arial" w:cs="Arial"/>
          <w:color w:val="333333"/>
          <w:sz w:val="22"/>
          <w:szCs w:val="22"/>
        </w:rPr>
      </w:pPr>
    </w:p>
    <w:p w14:paraId="74678AA9" w14:textId="5B891ACF" w:rsidR="00B0747E" w:rsidRDefault="00B0747E" w:rsidP="00DD4564">
      <w:pPr>
        <w:numPr>
          <w:ilvl w:val="0"/>
          <w:numId w:val="1"/>
        </w:numPr>
        <w:shd w:val="clear" w:color="auto" w:fill="FFFFFF"/>
        <w:spacing w:line="264" w:lineRule="auto"/>
        <w:ind w:left="360"/>
        <w:rPr>
          <w:rFonts w:ascii="Arial" w:eastAsia="Times New Roman" w:hAnsi="Arial" w:cs="Arial"/>
          <w:color w:val="333333"/>
          <w:sz w:val="22"/>
          <w:szCs w:val="22"/>
        </w:rPr>
      </w:pPr>
      <w:r w:rsidRPr="00B0747E">
        <w:rPr>
          <w:rFonts w:ascii="Arial" w:eastAsia="Times New Roman" w:hAnsi="Arial" w:cs="Arial"/>
          <w:color w:val="333333"/>
          <w:sz w:val="22"/>
          <w:szCs w:val="22"/>
        </w:rPr>
        <w:t>The clearinghouse is digital— it is a secure online database that will give employers, FMCSA, State driver licensing agencies (SDLAs), and State law enforcement personnel real-time information about commercial driver’s license (CDL) and commercial learner’s permit (CLP) holders’ drug and alcohol program violations</w:t>
      </w:r>
      <w:r w:rsidR="00C0570B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293041A9" w14:textId="5F65646E" w:rsidR="00273A8E" w:rsidRPr="00273A8E" w:rsidRDefault="00B0747E" w:rsidP="00273A8E">
      <w:pPr>
        <w:numPr>
          <w:ilvl w:val="0"/>
          <w:numId w:val="1"/>
        </w:numPr>
        <w:shd w:val="clear" w:color="auto" w:fill="FFFFFF"/>
        <w:spacing w:line="264" w:lineRule="auto"/>
        <w:ind w:left="360"/>
        <w:rPr>
          <w:rFonts w:ascii="Arial" w:eastAsia="Times New Roman" w:hAnsi="Arial" w:cs="Arial"/>
          <w:color w:val="333333"/>
          <w:sz w:val="22"/>
          <w:szCs w:val="22"/>
        </w:rPr>
      </w:pPr>
      <w:r w:rsidRPr="00273A8E">
        <w:rPr>
          <w:rFonts w:ascii="Arial" w:eastAsia="Times New Roman" w:hAnsi="Arial" w:cs="Arial"/>
          <w:color w:val="333333"/>
          <w:sz w:val="22"/>
          <w:szCs w:val="22"/>
        </w:rPr>
        <w:t>The clearinghouse will contain records of violations of drug and alcohol prohibitions in </w:t>
      </w:r>
      <w:r w:rsidRPr="00273A8E">
        <w:rPr>
          <w:rFonts w:ascii="Arial" w:eastAsia="Times New Roman" w:hAnsi="Arial" w:cs="Arial"/>
          <w:color w:val="333333"/>
          <w:sz w:val="22"/>
          <w:szCs w:val="22"/>
          <w:u w:val="single"/>
        </w:rPr>
        <w:t>49 CFR Part 382, Subpart B</w:t>
      </w:r>
      <w:r w:rsidRPr="00273A8E">
        <w:rPr>
          <w:rFonts w:ascii="Arial" w:eastAsia="Times New Roman" w:hAnsi="Arial" w:cs="Arial"/>
          <w:color w:val="333333"/>
          <w:sz w:val="22"/>
          <w:szCs w:val="22"/>
        </w:rPr>
        <w:t xml:space="preserve">, </w:t>
      </w:r>
      <w:r w:rsidR="00273A8E" w:rsidRPr="00273A8E">
        <w:rPr>
          <w:rFonts w:ascii="Arial" w:eastAsia="Times New Roman" w:hAnsi="Arial" w:cs="Arial"/>
          <w:color w:val="333333"/>
          <w:sz w:val="22"/>
          <w:szCs w:val="22"/>
        </w:rPr>
        <w:t>link:</w:t>
      </w:r>
      <w:r w:rsidR="00273A8E" w:rsidRPr="00273A8E">
        <w:t xml:space="preserve"> </w:t>
      </w:r>
      <w:hyperlink r:id="rId6" w:anchor="sp49.5.382.b" w:history="1">
        <w:r w:rsidR="00273A8E" w:rsidRPr="00BF024F">
          <w:rPr>
            <w:rStyle w:val="Hyperlink"/>
          </w:rPr>
          <w:t>https://www.ecfr.gov/cgi-bin/retrieveECFR?gp=1&amp;ty=HTML&amp;h=L&amp;mc=true&amp;=PART&amp;n=pt49.5.382#sp49.5.382.b</w:t>
        </w:r>
      </w:hyperlink>
    </w:p>
    <w:p w14:paraId="433F7140" w14:textId="7A1BE7EC" w:rsidR="00B0747E" w:rsidRPr="00B0747E" w:rsidRDefault="00C0570B" w:rsidP="00273A8E">
      <w:pPr>
        <w:shd w:val="clear" w:color="auto" w:fill="FFFFFF"/>
        <w:spacing w:line="264" w:lineRule="auto"/>
        <w:ind w:left="36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Violations of drug and alcohol prohibitions includes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positive drug or alcohol test results and test refusals. 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If a driver tests positive, and then 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>completes the return-to-duty process and follow-up testing plan, this information will also be recorded in the clearinghouse.</w:t>
      </w:r>
    </w:p>
    <w:p w14:paraId="73E887D4" w14:textId="298FEC99" w:rsidR="00B0747E" w:rsidRPr="00B0747E" w:rsidRDefault="00273A8E" w:rsidP="00DD4564">
      <w:pPr>
        <w:numPr>
          <w:ilvl w:val="0"/>
          <w:numId w:val="1"/>
        </w:numPr>
        <w:shd w:val="clear" w:color="auto" w:fill="FFFFFF"/>
        <w:spacing w:line="264" w:lineRule="auto"/>
        <w:ind w:left="36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U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>sers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, CDL drivers, employers and </w:t>
      </w:r>
      <w:r w:rsidR="00AF5384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consortia/third-party administrators (C/TPAs) 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can 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>establish an account that will allow access to the clearinghouse once it becomes operational (as per above, on Jan. 6, 2020)</w:t>
      </w:r>
    </w:p>
    <w:p w14:paraId="3AAFB937" w14:textId="6618ABF1" w:rsidR="00B0747E" w:rsidRPr="00B0747E" w:rsidRDefault="00B0747E" w:rsidP="00DD4564">
      <w:pPr>
        <w:numPr>
          <w:ilvl w:val="0"/>
          <w:numId w:val="1"/>
        </w:numPr>
        <w:shd w:val="clear" w:color="auto" w:fill="FFFFFF"/>
        <w:spacing w:line="264" w:lineRule="auto"/>
        <w:ind w:left="360"/>
        <w:rPr>
          <w:rFonts w:ascii="Arial" w:eastAsia="Times New Roman" w:hAnsi="Arial" w:cs="Arial"/>
          <w:color w:val="333333"/>
          <w:sz w:val="22"/>
          <w:szCs w:val="22"/>
        </w:rPr>
      </w:pPr>
      <w:r w:rsidRPr="00B0747E">
        <w:rPr>
          <w:rFonts w:ascii="Arial" w:eastAsia="Times New Roman" w:hAnsi="Arial" w:cs="Arial"/>
          <w:color w:val="333333"/>
          <w:sz w:val="22"/>
          <w:szCs w:val="22"/>
        </w:rPr>
        <w:t>The rule require</w:t>
      </w:r>
      <w:r w:rsidR="00C0570B">
        <w:rPr>
          <w:rFonts w:ascii="Arial" w:eastAsia="Times New Roman" w:hAnsi="Arial" w:cs="Arial"/>
          <w:color w:val="333333"/>
          <w:sz w:val="22"/>
          <w:szCs w:val="22"/>
        </w:rPr>
        <w:t>s</w:t>
      </w:r>
      <w:r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employers conduct queries of the clearinghouse as part of any pre-employment driver applicant investigation and at least annually for every CDL driver currently employed</w:t>
      </w:r>
      <w:r w:rsidR="00C0570B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02614DB9" w14:textId="7A3B4205" w:rsidR="00B0747E" w:rsidRPr="00B0747E" w:rsidRDefault="00B0747E" w:rsidP="00DD4564">
      <w:pPr>
        <w:numPr>
          <w:ilvl w:val="0"/>
          <w:numId w:val="1"/>
        </w:numPr>
        <w:shd w:val="clear" w:color="auto" w:fill="FFFFFF"/>
        <w:spacing w:line="264" w:lineRule="auto"/>
        <w:ind w:left="360"/>
        <w:rPr>
          <w:rFonts w:ascii="Arial" w:eastAsia="Times New Roman" w:hAnsi="Arial" w:cs="Arial"/>
          <w:color w:val="333333"/>
          <w:sz w:val="22"/>
          <w:szCs w:val="22"/>
        </w:rPr>
      </w:pPr>
      <w:r w:rsidRPr="00B0747E">
        <w:rPr>
          <w:rFonts w:ascii="Arial" w:eastAsia="Times New Roman" w:hAnsi="Arial" w:cs="Arial"/>
          <w:color w:val="333333"/>
          <w:sz w:val="22"/>
          <w:szCs w:val="22"/>
        </w:rPr>
        <w:t>Employers of CDL holders will have to purchase a “query plan” for the clearinghouse. The query plan will enable employers and their C/TPAs to conduct queries of driver clearinghouse records.</w:t>
      </w:r>
    </w:p>
    <w:p w14:paraId="69EF6468" w14:textId="48229AF0" w:rsidR="00B0747E" w:rsidRPr="00AF5384" w:rsidRDefault="00AF5384" w:rsidP="00DD4564">
      <w:pPr>
        <w:numPr>
          <w:ilvl w:val="0"/>
          <w:numId w:val="1"/>
        </w:numPr>
        <w:shd w:val="clear" w:color="auto" w:fill="FFFFFF"/>
        <w:spacing w:line="264" w:lineRule="auto"/>
        <w:ind w:left="36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R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egistered employers </w:t>
      </w:r>
      <w:r>
        <w:rPr>
          <w:rFonts w:ascii="Arial" w:eastAsia="Times New Roman" w:hAnsi="Arial" w:cs="Arial"/>
          <w:color w:val="333333"/>
          <w:sz w:val="22"/>
          <w:szCs w:val="22"/>
        </w:rPr>
        <w:t>are</w:t>
      </w:r>
      <w:r w:rsidR="00B0747E"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able to log into their clearinghouse accounts to purchase their query plan. </w:t>
      </w:r>
      <w:r w:rsidR="00B0747E" w:rsidRPr="00AF5384">
        <w:rPr>
          <w:rFonts w:ascii="Arial" w:eastAsia="Times New Roman" w:hAnsi="Arial" w:cs="Arial"/>
          <w:b/>
          <w:bCs/>
          <w:color w:val="333333"/>
          <w:sz w:val="22"/>
          <w:szCs w:val="22"/>
        </w:rPr>
        <w:t>Query plans may be purchased from the FMCSA Clearinghouse only</w:t>
      </w: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>.</w:t>
      </w:r>
    </w:p>
    <w:p w14:paraId="1FEBDE73" w14:textId="7CD55CEF" w:rsidR="00B0747E" w:rsidRPr="00B0747E" w:rsidRDefault="00B0747E" w:rsidP="00DD4564">
      <w:pPr>
        <w:numPr>
          <w:ilvl w:val="0"/>
          <w:numId w:val="1"/>
        </w:numPr>
        <w:shd w:val="clear" w:color="auto" w:fill="FFFFFF"/>
        <w:spacing w:line="264" w:lineRule="auto"/>
        <w:ind w:left="360"/>
        <w:rPr>
          <w:rFonts w:ascii="Arial" w:eastAsia="Times New Roman" w:hAnsi="Arial" w:cs="Arial"/>
          <w:color w:val="333333"/>
          <w:sz w:val="22"/>
          <w:szCs w:val="22"/>
        </w:rPr>
      </w:pPr>
      <w:r w:rsidRPr="00B0747E">
        <w:rPr>
          <w:rFonts w:ascii="Arial" w:eastAsia="Times New Roman" w:hAnsi="Arial" w:cs="Arial"/>
          <w:color w:val="333333"/>
          <w:sz w:val="22"/>
          <w:szCs w:val="22"/>
        </w:rPr>
        <w:t>The “query bundle” an employer purchases from FMCSA will depend on the number of queries that need to be conducted. The flat per-query rate is $1.25 for limited and full queries. There are customized “bundles” available to help fit business requirements</w:t>
      </w:r>
      <w:r w:rsidR="00C0570B">
        <w:rPr>
          <w:rFonts w:ascii="Arial" w:eastAsia="Times New Roman" w:hAnsi="Arial" w:cs="Arial"/>
          <w:color w:val="333333"/>
          <w:sz w:val="22"/>
          <w:szCs w:val="22"/>
        </w:rPr>
        <w:t>.</w:t>
      </w:r>
      <w:r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Purchased queries never expire and additional query plans may be purchased as needed</w:t>
      </w:r>
    </w:p>
    <w:p w14:paraId="36C1A524" w14:textId="729ECF89" w:rsidR="00B0747E" w:rsidRPr="00B0747E" w:rsidRDefault="00B0747E" w:rsidP="00DD4564">
      <w:pPr>
        <w:numPr>
          <w:ilvl w:val="0"/>
          <w:numId w:val="1"/>
        </w:numPr>
        <w:shd w:val="clear" w:color="auto" w:fill="FFFFFF"/>
        <w:spacing w:line="264" w:lineRule="auto"/>
        <w:ind w:left="360"/>
        <w:rPr>
          <w:rFonts w:ascii="Arial" w:eastAsia="Times New Roman" w:hAnsi="Arial" w:cs="Arial"/>
          <w:color w:val="333333"/>
          <w:sz w:val="22"/>
          <w:szCs w:val="22"/>
        </w:rPr>
      </w:pPr>
      <w:r w:rsidRPr="00AF5384">
        <w:rPr>
          <w:rFonts w:ascii="Arial" w:eastAsia="Times New Roman" w:hAnsi="Arial" w:cs="Arial"/>
          <w:b/>
          <w:bCs/>
          <w:color w:val="333333"/>
          <w:sz w:val="22"/>
          <w:szCs w:val="22"/>
        </w:rPr>
        <w:t>Limited queries</w:t>
      </w:r>
      <w:r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check for the presence of information in the queried driver’s clearinghouse record. Driver consent is obtained outside the clearinghouse</w:t>
      </w:r>
      <w:r w:rsidR="00AF5384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3DE914DE" w14:textId="278E22CD" w:rsidR="00B0747E" w:rsidRPr="00B0747E" w:rsidRDefault="00B0747E" w:rsidP="00DD4564">
      <w:pPr>
        <w:numPr>
          <w:ilvl w:val="0"/>
          <w:numId w:val="1"/>
        </w:numPr>
        <w:shd w:val="clear" w:color="auto" w:fill="FFFFFF"/>
        <w:spacing w:line="264" w:lineRule="auto"/>
        <w:ind w:left="360"/>
        <w:rPr>
          <w:rFonts w:ascii="Arial" w:eastAsia="Times New Roman" w:hAnsi="Arial" w:cs="Arial"/>
          <w:color w:val="333333"/>
          <w:sz w:val="22"/>
          <w:szCs w:val="22"/>
        </w:rPr>
      </w:pPr>
      <w:r w:rsidRPr="00AF5384">
        <w:rPr>
          <w:rFonts w:ascii="Arial" w:eastAsia="Times New Roman" w:hAnsi="Arial" w:cs="Arial"/>
          <w:b/>
          <w:bCs/>
          <w:color w:val="333333"/>
          <w:sz w:val="22"/>
          <w:szCs w:val="22"/>
        </w:rPr>
        <w:lastRenderedPageBreak/>
        <w:t>Full queries</w:t>
      </w:r>
      <w:r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 will disclose to employers and C/TPAs detailed information about any resolved or unresolved violations in a driver’s clearinghouse record. The driver’s specific electronic consent in the clearinghouse is required</w:t>
      </w:r>
      <w:r w:rsidR="00AF5384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70F32179" w14:textId="77777777" w:rsidR="000D4567" w:rsidRPr="000D4567" w:rsidRDefault="00B0747E" w:rsidP="00AF5384">
      <w:pPr>
        <w:numPr>
          <w:ilvl w:val="0"/>
          <w:numId w:val="1"/>
        </w:numPr>
        <w:shd w:val="clear" w:color="auto" w:fill="FFFFFF"/>
        <w:spacing w:line="264" w:lineRule="auto"/>
        <w:ind w:left="360"/>
      </w:pPr>
      <w:r w:rsidRPr="00B0747E">
        <w:rPr>
          <w:rFonts w:ascii="Arial" w:eastAsia="Times New Roman" w:hAnsi="Arial" w:cs="Arial"/>
          <w:color w:val="333333"/>
          <w:sz w:val="22"/>
          <w:szCs w:val="22"/>
        </w:rPr>
        <w:t xml:space="preserve">Employers, CDL holders, medical review officers, substance abuse professionals, and consortia/third-party administrators will have to register to access the clearinghouse database. </w:t>
      </w:r>
    </w:p>
    <w:p w14:paraId="6EFFCCA0" w14:textId="072D53C3" w:rsidR="00D2631B" w:rsidRDefault="00D2631B" w:rsidP="00AF5384">
      <w:pPr>
        <w:numPr>
          <w:ilvl w:val="0"/>
          <w:numId w:val="1"/>
        </w:numPr>
        <w:shd w:val="clear" w:color="auto" w:fill="FFFFFF"/>
        <w:spacing w:line="264" w:lineRule="auto"/>
        <w:ind w:left="360"/>
      </w:pPr>
      <w:r>
        <w:t xml:space="preserve">How to register: </w:t>
      </w:r>
    </w:p>
    <w:p w14:paraId="7BF74988" w14:textId="107DA65A" w:rsidR="00D2631B" w:rsidRDefault="000D4567" w:rsidP="00D2631B">
      <w:pPr>
        <w:pStyle w:val="ListParagraph"/>
        <w:numPr>
          <w:ilvl w:val="0"/>
          <w:numId w:val="2"/>
        </w:numPr>
      </w:pPr>
      <w:r>
        <w:t>Create a FMCSA Portal Account</w:t>
      </w:r>
    </w:p>
    <w:p w14:paraId="60340AD4" w14:textId="40DCF154" w:rsidR="000D4567" w:rsidRPr="000D4567" w:rsidRDefault="000D4567" w:rsidP="000D4567">
      <w:pPr>
        <w:pStyle w:val="ListParagraph"/>
        <w:numPr>
          <w:ilvl w:val="0"/>
          <w:numId w:val="5"/>
        </w:numPr>
        <w:rPr>
          <w:i/>
          <w:iCs/>
        </w:rPr>
      </w:pPr>
      <w:r>
        <w:t xml:space="preserve">Enter </w:t>
      </w:r>
      <w:r w:rsidR="00C0570B">
        <w:t xml:space="preserve">the </w:t>
      </w:r>
      <w:r>
        <w:t>site at this link</w:t>
      </w:r>
      <w:r w:rsidR="00C0570B">
        <w:t>:</w:t>
      </w:r>
      <w:r>
        <w:t xml:space="preserve"> </w:t>
      </w:r>
      <w:hyperlink r:id="rId7" w:history="1">
        <w:r w:rsidR="00C0570B" w:rsidRPr="00C0570B">
          <w:rPr>
            <w:rStyle w:val="Hyperlink"/>
          </w:rPr>
          <w:t>https://clearinghouse.fmcsa.dot.gov/Register</w:t>
        </w:r>
      </w:hyperlink>
      <w:r w:rsidR="00C0570B" w:rsidRPr="00C0570B">
        <w:t xml:space="preserve"> . Go to login.gov</w:t>
      </w:r>
      <w:r w:rsidR="00C0570B">
        <w:t>.  (A</w:t>
      </w:r>
      <w:r w:rsidRPr="000D4567">
        <w:rPr>
          <w:i/>
          <w:iCs/>
        </w:rPr>
        <w:t xml:space="preserve">fter 15 minutes of inactivity – </w:t>
      </w:r>
      <w:r w:rsidR="00C0570B">
        <w:rPr>
          <w:i/>
          <w:iCs/>
        </w:rPr>
        <w:t xml:space="preserve">the </w:t>
      </w:r>
      <w:r w:rsidRPr="000D4567">
        <w:rPr>
          <w:i/>
          <w:iCs/>
        </w:rPr>
        <w:t>current page will clear all information entered in data fields</w:t>
      </w:r>
      <w:r w:rsidR="00C0570B">
        <w:rPr>
          <w:i/>
          <w:iCs/>
        </w:rPr>
        <w:t>)</w:t>
      </w:r>
    </w:p>
    <w:p w14:paraId="7ABF69AB" w14:textId="391EAA26" w:rsidR="000D4567" w:rsidRPr="000D4567" w:rsidRDefault="000D4567" w:rsidP="000D4567">
      <w:pPr>
        <w:pStyle w:val="ListParagraph"/>
        <w:numPr>
          <w:ilvl w:val="0"/>
          <w:numId w:val="5"/>
        </w:numPr>
      </w:pPr>
      <w:r w:rsidRPr="000D4567">
        <w:rPr>
          <w:rFonts w:ascii="Arial" w:hAnsi="Arial" w:cs="Arial"/>
          <w:sz w:val="22"/>
          <w:szCs w:val="22"/>
        </w:rPr>
        <w:t xml:space="preserve">On the login.gov sign in screen, click </w:t>
      </w:r>
      <w:r w:rsidRPr="000D4567">
        <w:rPr>
          <w:rFonts w:ascii="Arial" w:hAnsi="Arial" w:cs="Arial"/>
          <w:b/>
          <w:bCs/>
          <w:sz w:val="22"/>
          <w:szCs w:val="22"/>
        </w:rPr>
        <w:t>Create an account</w:t>
      </w:r>
      <w:r>
        <w:rPr>
          <w:rFonts w:cs="Proxima Nova Rg"/>
          <w:sz w:val="20"/>
          <w:szCs w:val="20"/>
        </w:rPr>
        <w:t>.</w:t>
      </w:r>
    </w:p>
    <w:p w14:paraId="68724134" w14:textId="72C75510" w:rsidR="000D4567" w:rsidRDefault="000D4567" w:rsidP="000D456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4567">
        <w:rPr>
          <w:rFonts w:ascii="Arial" w:hAnsi="Arial" w:cs="Arial"/>
          <w:sz w:val="22"/>
          <w:szCs w:val="22"/>
        </w:rPr>
        <w:t xml:space="preserve">Enter your email address and click </w:t>
      </w:r>
      <w:r w:rsidRPr="000D4567">
        <w:rPr>
          <w:rFonts w:ascii="Arial" w:hAnsi="Arial" w:cs="Arial"/>
          <w:b/>
          <w:bCs/>
          <w:sz w:val="22"/>
          <w:szCs w:val="22"/>
        </w:rPr>
        <w:t xml:space="preserve">Submit. </w:t>
      </w:r>
      <w:r w:rsidRPr="000D4567">
        <w:rPr>
          <w:rFonts w:ascii="Arial" w:hAnsi="Arial" w:cs="Arial"/>
          <w:sz w:val="22"/>
          <w:szCs w:val="22"/>
        </w:rPr>
        <w:t xml:space="preserve">This is the email address the Clearinghouse will use to send you notifications about your </w:t>
      </w:r>
      <w:r w:rsidR="00C0570B">
        <w:rPr>
          <w:rFonts w:ascii="Arial" w:hAnsi="Arial" w:cs="Arial"/>
          <w:sz w:val="22"/>
          <w:szCs w:val="22"/>
        </w:rPr>
        <w:t>c</w:t>
      </w:r>
      <w:r w:rsidRPr="000D4567">
        <w:rPr>
          <w:rFonts w:ascii="Arial" w:hAnsi="Arial" w:cs="Arial"/>
          <w:sz w:val="22"/>
          <w:szCs w:val="22"/>
        </w:rPr>
        <w:t xml:space="preserve">learinghouse account. This email address will also be used to identify you in the </w:t>
      </w:r>
      <w:r w:rsidR="00C0570B">
        <w:rPr>
          <w:rFonts w:ascii="Arial" w:hAnsi="Arial" w:cs="Arial"/>
          <w:sz w:val="22"/>
          <w:szCs w:val="22"/>
        </w:rPr>
        <w:t>c</w:t>
      </w:r>
      <w:r w:rsidRPr="000D4567">
        <w:rPr>
          <w:rFonts w:ascii="Arial" w:hAnsi="Arial" w:cs="Arial"/>
          <w:sz w:val="22"/>
          <w:szCs w:val="22"/>
        </w:rPr>
        <w:t>learinghouse and cannot be modified.</w:t>
      </w:r>
    </w:p>
    <w:p w14:paraId="7FC81026" w14:textId="572F9106" w:rsidR="000D4567" w:rsidRPr="000D4567" w:rsidRDefault="000D4567" w:rsidP="000D456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4567">
        <w:rPr>
          <w:rFonts w:ascii="Arial" w:hAnsi="Arial" w:cs="Arial"/>
          <w:sz w:val="22"/>
          <w:szCs w:val="22"/>
        </w:rPr>
        <w:t xml:space="preserve">Check your email and open the email from </w:t>
      </w:r>
      <w:r w:rsidRPr="000D4567">
        <w:rPr>
          <w:rFonts w:ascii="Arial" w:hAnsi="Arial" w:cs="Arial"/>
          <w:b/>
          <w:bCs/>
          <w:sz w:val="22"/>
          <w:szCs w:val="22"/>
        </w:rPr>
        <w:t>no-reply@login.gov</w:t>
      </w:r>
      <w:r w:rsidRPr="000D4567">
        <w:rPr>
          <w:rFonts w:ascii="Arial" w:hAnsi="Arial" w:cs="Arial"/>
          <w:sz w:val="22"/>
          <w:szCs w:val="22"/>
        </w:rPr>
        <w:t xml:space="preserve">, with the subject line </w:t>
      </w:r>
      <w:r w:rsidRPr="000D4567">
        <w:rPr>
          <w:rFonts w:ascii="Arial" w:hAnsi="Arial" w:cs="Arial"/>
          <w:b/>
          <w:bCs/>
          <w:sz w:val="22"/>
          <w:szCs w:val="22"/>
        </w:rPr>
        <w:t>Confirm your email</w:t>
      </w:r>
      <w:r w:rsidRPr="000D4567">
        <w:rPr>
          <w:rFonts w:ascii="Arial" w:hAnsi="Arial" w:cs="Arial"/>
          <w:sz w:val="22"/>
          <w:szCs w:val="22"/>
        </w:rPr>
        <w:t xml:space="preserve">. Click </w:t>
      </w:r>
      <w:r w:rsidRPr="000D4567">
        <w:rPr>
          <w:rFonts w:ascii="Arial" w:hAnsi="Arial" w:cs="Arial"/>
          <w:b/>
          <w:bCs/>
          <w:sz w:val="22"/>
          <w:szCs w:val="22"/>
        </w:rPr>
        <w:t xml:space="preserve">Confirm email </w:t>
      </w:r>
      <w:r w:rsidR="00C0570B" w:rsidRPr="000D4567">
        <w:rPr>
          <w:rFonts w:ascii="Arial" w:hAnsi="Arial" w:cs="Arial"/>
          <w:b/>
          <w:bCs/>
          <w:sz w:val="22"/>
          <w:szCs w:val="22"/>
        </w:rPr>
        <w:t>address</w:t>
      </w:r>
      <w:r w:rsidR="00C0570B" w:rsidRPr="000D4567">
        <w:rPr>
          <w:rFonts w:ascii="Arial" w:hAnsi="Arial" w:cs="Arial"/>
          <w:sz w:val="22"/>
          <w:szCs w:val="22"/>
        </w:rPr>
        <w:t xml:space="preserve"> or</w:t>
      </w:r>
      <w:r w:rsidRPr="000D4567">
        <w:rPr>
          <w:rFonts w:ascii="Arial" w:hAnsi="Arial" w:cs="Arial"/>
          <w:sz w:val="22"/>
          <w:szCs w:val="22"/>
        </w:rPr>
        <w:t xml:space="preserve"> copy and paste the link into a web browser.</w:t>
      </w:r>
    </w:p>
    <w:p w14:paraId="5D0DE4CD" w14:textId="618CE67F" w:rsidR="000D4567" w:rsidRPr="000D4567" w:rsidRDefault="000D4567" w:rsidP="000D456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4567">
        <w:rPr>
          <w:rFonts w:ascii="Arial" w:hAnsi="Arial" w:cs="Arial"/>
          <w:sz w:val="22"/>
          <w:szCs w:val="22"/>
        </w:rPr>
        <w:t xml:space="preserve">Create a password. This password must be at least 12 characters long. If the password you enter is not strong enough, you will not be able to continue. Enter a strong password and click </w:t>
      </w:r>
      <w:r w:rsidRPr="000D4567">
        <w:rPr>
          <w:rFonts w:ascii="Arial" w:hAnsi="Arial" w:cs="Arial"/>
          <w:b/>
          <w:bCs/>
          <w:sz w:val="22"/>
          <w:szCs w:val="22"/>
        </w:rPr>
        <w:t>Continue</w:t>
      </w:r>
      <w:r w:rsidRPr="000D4567">
        <w:rPr>
          <w:rFonts w:ascii="Arial" w:hAnsi="Arial" w:cs="Arial"/>
          <w:sz w:val="22"/>
          <w:szCs w:val="22"/>
        </w:rPr>
        <w:t>.</w:t>
      </w:r>
    </w:p>
    <w:p w14:paraId="40F9C56B" w14:textId="51CC21CD" w:rsidR="0089272C" w:rsidRDefault="000D4567" w:rsidP="00CE460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9272C">
        <w:rPr>
          <w:rFonts w:ascii="Arial" w:hAnsi="Arial" w:cs="Arial"/>
          <w:sz w:val="22"/>
          <w:szCs w:val="22"/>
        </w:rPr>
        <w:t xml:space="preserve">Select an option to secure your account and click </w:t>
      </w:r>
      <w:r w:rsidRPr="0089272C">
        <w:rPr>
          <w:rFonts w:ascii="Arial" w:hAnsi="Arial" w:cs="Arial"/>
          <w:b/>
          <w:bCs/>
          <w:sz w:val="22"/>
          <w:szCs w:val="22"/>
        </w:rPr>
        <w:t>Continue</w:t>
      </w:r>
      <w:r w:rsidRPr="0089272C">
        <w:rPr>
          <w:rFonts w:ascii="Arial" w:hAnsi="Arial" w:cs="Arial"/>
          <w:sz w:val="22"/>
          <w:szCs w:val="22"/>
        </w:rPr>
        <w:t>.</w:t>
      </w:r>
      <w:r w:rsidR="0089272C" w:rsidRPr="0089272C">
        <w:rPr>
          <w:rFonts w:ascii="Arial" w:hAnsi="Arial" w:cs="Arial"/>
          <w:sz w:val="22"/>
          <w:szCs w:val="22"/>
        </w:rPr>
        <w:t xml:space="preserve"> </w:t>
      </w:r>
      <w:r w:rsidR="0089272C">
        <w:rPr>
          <w:rFonts w:ascii="Arial" w:hAnsi="Arial" w:cs="Arial"/>
          <w:sz w:val="22"/>
          <w:szCs w:val="22"/>
        </w:rPr>
        <w:t xml:space="preserve">                           </w:t>
      </w:r>
      <w:r w:rsidR="0089272C" w:rsidRPr="0089272C">
        <w:rPr>
          <w:rFonts w:ascii="Arial" w:hAnsi="Arial" w:cs="Arial"/>
          <w:i/>
          <w:iCs/>
          <w:sz w:val="22"/>
          <w:szCs w:val="22"/>
        </w:rPr>
        <w:t>Login.gov requires the completion of a user verification process to ensure the proper person is using those credentials. Follow the instructions for the method you select.</w:t>
      </w:r>
    </w:p>
    <w:p w14:paraId="1F3983B3" w14:textId="49E6B35A" w:rsidR="0089272C" w:rsidRPr="0089272C" w:rsidRDefault="0089272C" w:rsidP="008927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9272C">
        <w:rPr>
          <w:rFonts w:ascii="Arial" w:hAnsi="Arial" w:cs="Arial"/>
          <w:sz w:val="22"/>
          <w:szCs w:val="22"/>
        </w:rPr>
        <w:t xml:space="preserve">Enter your security code and click </w:t>
      </w:r>
      <w:r w:rsidRPr="0089272C">
        <w:rPr>
          <w:rFonts w:ascii="Arial" w:hAnsi="Arial" w:cs="Arial"/>
          <w:b/>
          <w:bCs/>
          <w:sz w:val="22"/>
          <w:szCs w:val="22"/>
        </w:rPr>
        <w:t>Submit</w:t>
      </w:r>
      <w:r w:rsidRPr="0089272C">
        <w:rPr>
          <w:rFonts w:ascii="Arial" w:hAnsi="Arial" w:cs="Arial"/>
          <w:sz w:val="22"/>
          <w:szCs w:val="22"/>
        </w:rPr>
        <w:t>. This code will be provided via the method you selected.</w:t>
      </w:r>
    </w:p>
    <w:p w14:paraId="327B4F86" w14:textId="2BB02934" w:rsidR="0089272C" w:rsidRDefault="0089272C" w:rsidP="008927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9272C">
        <w:rPr>
          <w:rFonts w:ascii="Arial" w:hAnsi="Arial" w:cs="Arial"/>
          <w:sz w:val="22"/>
          <w:szCs w:val="22"/>
        </w:rPr>
        <w:t xml:space="preserve">Once you have completed setting up your first authentication method, you will be prompted to set up a second authentication method. You’ll only use one authentication method to sign in, but you will need to set up two methods in case you lose access to one. </w:t>
      </w:r>
      <w:r w:rsidRPr="0089272C">
        <w:rPr>
          <w:rFonts w:ascii="Arial" w:hAnsi="Arial" w:cs="Arial"/>
          <w:b/>
          <w:bCs/>
          <w:sz w:val="22"/>
          <w:szCs w:val="22"/>
        </w:rPr>
        <w:t>Repeat steps 6 and 7 to set up your second method</w:t>
      </w:r>
      <w:r w:rsidRPr="0089272C">
        <w:rPr>
          <w:rFonts w:ascii="Arial" w:hAnsi="Arial" w:cs="Arial"/>
          <w:sz w:val="22"/>
          <w:szCs w:val="22"/>
        </w:rPr>
        <w:t>.</w:t>
      </w:r>
    </w:p>
    <w:p w14:paraId="202987A2" w14:textId="1EC1AB1F" w:rsidR="0089272C" w:rsidRDefault="00C0570B" w:rsidP="008927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this point, y</w:t>
      </w:r>
      <w:r w:rsidR="0089272C" w:rsidRPr="0089272C">
        <w:rPr>
          <w:rFonts w:ascii="Arial" w:hAnsi="Arial" w:cs="Arial"/>
          <w:sz w:val="22"/>
          <w:szCs w:val="22"/>
        </w:rPr>
        <w:t xml:space="preserve">ou have </w:t>
      </w:r>
      <w:r>
        <w:rPr>
          <w:rFonts w:ascii="Arial" w:hAnsi="Arial" w:cs="Arial"/>
          <w:sz w:val="22"/>
          <w:szCs w:val="22"/>
        </w:rPr>
        <w:t xml:space="preserve">completed creating </w:t>
      </w:r>
      <w:r w:rsidR="0089272C" w:rsidRPr="0089272C">
        <w:rPr>
          <w:rFonts w:ascii="Arial" w:hAnsi="Arial" w:cs="Arial"/>
          <w:sz w:val="22"/>
          <w:szCs w:val="22"/>
        </w:rPr>
        <w:t xml:space="preserve">your login.gov account. Click </w:t>
      </w:r>
      <w:r w:rsidR="0089272C" w:rsidRPr="0089272C">
        <w:rPr>
          <w:rFonts w:ascii="Arial" w:hAnsi="Arial" w:cs="Arial"/>
          <w:b/>
          <w:bCs/>
          <w:sz w:val="22"/>
          <w:szCs w:val="22"/>
        </w:rPr>
        <w:t xml:space="preserve">Continue </w:t>
      </w:r>
      <w:r w:rsidR="0089272C" w:rsidRPr="0089272C">
        <w:rPr>
          <w:rFonts w:ascii="Arial" w:hAnsi="Arial" w:cs="Arial"/>
          <w:sz w:val="22"/>
          <w:szCs w:val="22"/>
        </w:rPr>
        <w:t xml:space="preserve">to return to the </w:t>
      </w:r>
      <w:r>
        <w:rPr>
          <w:rFonts w:ascii="Arial" w:hAnsi="Arial" w:cs="Arial"/>
          <w:sz w:val="22"/>
          <w:szCs w:val="22"/>
        </w:rPr>
        <w:t>c</w:t>
      </w:r>
      <w:r w:rsidR="0089272C" w:rsidRPr="0089272C">
        <w:rPr>
          <w:rFonts w:ascii="Arial" w:hAnsi="Arial" w:cs="Arial"/>
          <w:sz w:val="22"/>
          <w:szCs w:val="22"/>
        </w:rPr>
        <w:t xml:space="preserve">learinghouse website and complete your </w:t>
      </w:r>
      <w:r>
        <w:rPr>
          <w:rFonts w:ascii="Arial" w:hAnsi="Arial" w:cs="Arial"/>
          <w:sz w:val="22"/>
          <w:szCs w:val="22"/>
        </w:rPr>
        <w:t>c</w:t>
      </w:r>
      <w:r w:rsidR="0089272C" w:rsidRPr="0089272C">
        <w:rPr>
          <w:rFonts w:ascii="Arial" w:hAnsi="Arial" w:cs="Arial"/>
          <w:sz w:val="22"/>
          <w:szCs w:val="22"/>
        </w:rPr>
        <w:t>learinghouse registration.</w:t>
      </w:r>
    </w:p>
    <w:p w14:paraId="2EF7B776" w14:textId="39616481" w:rsidR="0089272C" w:rsidRDefault="0089272C" w:rsidP="008927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9272C">
        <w:rPr>
          <w:rFonts w:ascii="Arial" w:hAnsi="Arial" w:cs="Arial"/>
          <w:sz w:val="22"/>
          <w:szCs w:val="22"/>
        </w:rPr>
        <w:t>Select your role (</w:t>
      </w:r>
      <w:r w:rsidRPr="0089272C">
        <w:rPr>
          <w:rFonts w:ascii="Arial" w:hAnsi="Arial" w:cs="Arial"/>
          <w:b/>
          <w:bCs/>
          <w:sz w:val="22"/>
          <w:szCs w:val="22"/>
        </w:rPr>
        <w:t>employer</w:t>
      </w:r>
      <w:r w:rsidR="00C0570B" w:rsidRPr="0089272C">
        <w:rPr>
          <w:rFonts w:ascii="Arial" w:hAnsi="Arial" w:cs="Arial"/>
          <w:sz w:val="22"/>
          <w:szCs w:val="22"/>
        </w:rPr>
        <w:t>) and</w:t>
      </w:r>
      <w:r w:rsidRPr="0089272C">
        <w:rPr>
          <w:rFonts w:ascii="Arial" w:hAnsi="Arial" w:cs="Arial"/>
          <w:sz w:val="22"/>
          <w:szCs w:val="22"/>
        </w:rPr>
        <w:t xml:space="preserve"> click </w:t>
      </w:r>
      <w:r w:rsidRPr="0089272C">
        <w:rPr>
          <w:rFonts w:ascii="Arial" w:hAnsi="Arial" w:cs="Arial"/>
          <w:b/>
          <w:bCs/>
          <w:sz w:val="22"/>
          <w:szCs w:val="22"/>
        </w:rPr>
        <w:t>Next</w:t>
      </w:r>
      <w:r w:rsidRPr="0089272C">
        <w:rPr>
          <w:rFonts w:ascii="Arial" w:hAnsi="Arial" w:cs="Arial"/>
          <w:sz w:val="22"/>
          <w:szCs w:val="22"/>
        </w:rPr>
        <w:t>.</w:t>
      </w:r>
    </w:p>
    <w:p w14:paraId="749B12F2" w14:textId="77777777" w:rsidR="0089272C" w:rsidRPr="0089272C" w:rsidRDefault="0089272C" w:rsidP="008927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9272C">
        <w:rPr>
          <w:rFonts w:ascii="Arial" w:hAnsi="Arial" w:cs="Arial"/>
          <w:sz w:val="22"/>
          <w:szCs w:val="22"/>
        </w:rPr>
        <w:t xml:space="preserve">If you have an FMCSA Portal Account, select </w:t>
      </w:r>
      <w:r w:rsidRPr="0089272C">
        <w:rPr>
          <w:rFonts w:ascii="Arial" w:hAnsi="Arial" w:cs="Arial"/>
          <w:b/>
          <w:bCs/>
          <w:sz w:val="22"/>
          <w:szCs w:val="22"/>
        </w:rPr>
        <w:t xml:space="preserve">Yes, </w:t>
      </w:r>
      <w:r w:rsidRPr="0089272C">
        <w:rPr>
          <w:rFonts w:ascii="Arial" w:hAnsi="Arial" w:cs="Arial"/>
          <w:sz w:val="22"/>
          <w:szCs w:val="22"/>
        </w:rPr>
        <w:t xml:space="preserve">and click </w:t>
      </w:r>
      <w:r w:rsidRPr="0089272C">
        <w:rPr>
          <w:rFonts w:ascii="Arial" w:hAnsi="Arial" w:cs="Arial"/>
          <w:b/>
          <w:bCs/>
          <w:sz w:val="22"/>
          <w:szCs w:val="22"/>
        </w:rPr>
        <w:t>Next.</w:t>
      </w:r>
    </w:p>
    <w:p w14:paraId="1BD0C9D2" w14:textId="08E04DFD" w:rsidR="0089272C" w:rsidRDefault="0089272C" w:rsidP="00C0570B">
      <w:pPr>
        <w:pStyle w:val="Default"/>
        <w:ind w:left="1080"/>
        <w:rPr>
          <w:rFonts w:ascii="Arial" w:hAnsi="Arial" w:cs="Arial"/>
          <w:sz w:val="22"/>
          <w:szCs w:val="22"/>
        </w:rPr>
      </w:pPr>
      <w:r w:rsidRPr="00C0570B">
        <w:rPr>
          <w:rFonts w:ascii="Arial" w:hAnsi="Arial" w:cs="Arial"/>
          <w:sz w:val="22"/>
          <w:szCs w:val="22"/>
        </w:rPr>
        <w:t xml:space="preserve">If you do not have an FMCSA Portal </w:t>
      </w:r>
      <w:proofErr w:type="gramStart"/>
      <w:r w:rsidRPr="00C0570B">
        <w:rPr>
          <w:rFonts w:ascii="Arial" w:hAnsi="Arial" w:cs="Arial"/>
          <w:sz w:val="22"/>
          <w:szCs w:val="22"/>
        </w:rPr>
        <w:t>Account</w:t>
      </w:r>
      <w:proofErr w:type="gramEnd"/>
      <w:r w:rsidRPr="0089272C">
        <w:rPr>
          <w:rFonts w:ascii="Arial" w:hAnsi="Arial" w:cs="Arial"/>
          <w:b/>
          <w:bCs/>
          <w:sz w:val="22"/>
          <w:szCs w:val="22"/>
        </w:rPr>
        <w:t xml:space="preserve"> </w:t>
      </w:r>
      <w:r w:rsidR="00C0570B" w:rsidRPr="00C0570B">
        <w:rPr>
          <w:rFonts w:ascii="Arial" w:hAnsi="Arial" w:cs="Arial"/>
          <w:sz w:val="22"/>
          <w:szCs w:val="22"/>
        </w:rPr>
        <w:t>s</w:t>
      </w:r>
      <w:r w:rsidRPr="0089272C">
        <w:rPr>
          <w:rFonts w:ascii="Arial" w:hAnsi="Arial" w:cs="Arial"/>
          <w:sz w:val="22"/>
          <w:szCs w:val="22"/>
        </w:rPr>
        <w:t xml:space="preserve">elect </w:t>
      </w:r>
      <w:r w:rsidR="00C0570B" w:rsidRPr="0089272C">
        <w:rPr>
          <w:rFonts w:ascii="Arial" w:hAnsi="Arial" w:cs="Arial"/>
          <w:b/>
          <w:bCs/>
          <w:sz w:val="22"/>
          <w:szCs w:val="22"/>
        </w:rPr>
        <w:t>No</w:t>
      </w:r>
      <w:r w:rsidR="00C0570B" w:rsidRPr="0089272C">
        <w:rPr>
          <w:rFonts w:ascii="Arial" w:hAnsi="Arial" w:cs="Arial"/>
          <w:sz w:val="22"/>
          <w:szCs w:val="22"/>
        </w:rPr>
        <w:t xml:space="preserve"> and</w:t>
      </w:r>
      <w:r w:rsidRPr="0089272C">
        <w:rPr>
          <w:rFonts w:ascii="Arial" w:hAnsi="Arial" w:cs="Arial"/>
          <w:sz w:val="22"/>
          <w:szCs w:val="22"/>
        </w:rPr>
        <w:t xml:space="preserve"> click </w:t>
      </w:r>
      <w:r w:rsidRPr="0089272C">
        <w:rPr>
          <w:rFonts w:ascii="Arial" w:hAnsi="Arial" w:cs="Arial"/>
          <w:b/>
          <w:bCs/>
          <w:sz w:val="22"/>
          <w:szCs w:val="22"/>
        </w:rPr>
        <w:t>Next</w:t>
      </w:r>
      <w:r w:rsidRPr="0089272C">
        <w:rPr>
          <w:rFonts w:ascii="Arial" w:hAnsi="Arial" w:cs="Arial"/>
          <w:sz w:val="22"/>
          <w:szCs w:val="22"/>
        </w:rPr>
        <w:t>.</w:t>
      </w:r>
    </w:p>
    <w:p w14:paraId="76CD74B8" w14:textId="61958531" w:rsidR="0089272C" w:rsidRPr="0089272C" w:rsidRDefault="0089272C" w:rsidP="008927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9272C">
        <w:rPr>
          <w:rFonts w:ascii="Arial" w:hAnsi="Arial" w:cs="Arial"/>
          <w:sz w:val="22"/>
          <w:szCs w:val="22"/>
        </w:rPr>
        <w:t xml:space="preserve">Confirm that you are your employer’s Clearinghouse Administrator by selecting </w:t>
      </w:r>
      <w:r w:rsidRPr="0089272C">
        <w:rPr>
          <w:rFonts w:ascii="Arial" w:hAnsi="Arial" w:cs="Arial"/>
          <w:b/>
          <w:bCs/>
          <w:sz w:val="22"/>
          <w:szCs w:val="22"/>
        </w:rPr>
        <w:t xml:space="preserve">Yes, I am my employer’s Clearinghouse Administrator </w:t>
      </w:r>
      <w:r w:rsidRPr="0089272C">
        <w:rPr>
          <w:rFonts w:ascii="Arial" w:hAnsi="Arial" w:cs="Arial"/>
          <w:sz w:val="22"/>
          <w:szCs w:val="22"/>
        </w:rPr>
        <w:t xml:space="preserve">and clicking </w:t>
      </w:r>
      <w:r w:rsidRPr="0089272C">
        <w:rPr>
          <w:rFonts w:ascii="Arial" w:hAnsi="Arial" w:cs="Arial"/>
          <w:b/>
          <w:bCs/>
          <w:sz w:val="22"/>
          <w:szCs w:val="22"/>
        </w:rPr>
        <w:t>Next.</w:t>
      </w:r>
    </w:p>
    <w:p w14:paraId="40239A9E" w14:textId="271B469B" w:rsidR="0089272C" w:rsidRPr="0089272C" w:rsidRDefault="0089272C" w:rsidP="008927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9272C">
        <w:rPr>
          <w:rFonts w:ascii="Arial" w:hAnsi="Arial" w:cs="Arial"/>
          <w:sz w:val="22"/>
          <w:szCs w:val="22"/>
        </w:rPr>
        <w:t xml:space="preserve">Indicate whether or not your company has a USDOT Number and click </w:t>
      </w:r>
      <w:r w:rsidRPr="0089272C">
        <w:rPr>
          <w:rFonts w:ascii="Arial" w:hAnsi="Arial" w:cs="Arial"/>
          <w:b/>
          <w:bCs/>
          <w:sz w:val="22"/>
          <w:szCs w:val="22"/>
        </w:rPr>
        <w:t>Next.</w:t>
      </w:r>
      <w:r w:rsidR="00834293">
        <w:rPr>
          <w:rFonts w:ascii="Arial" w:hAnsi="Arial" w:cs="Arial"/>
          <w:b/>
          <w:bCs/>
          <w:sz w:val="22"/>
          <w:szCs w:val="22"/>
        </w:rPr>
        <w:t xml:space="preserve"> (</w:t>
      </w:r>
      <w:r w:rsidR="00834293">
        <w:rPr>
          <w:rFonts w:ascii="Arial" w:hAnsi="Arial" w:cs="Arial"/>
          <w:sz w:val="22"/>
          <w:szCs w:val="22"/>
        </w:rPr>
        <w:t>Public schools do not operate under a USDOT number).</w:t>
      </w:r>
    </w:p>
    <w:p w14:paraId="0CF6F862" w14:textId="6DF0CB10" w:rsidR="0089272C" w:rsidRDefault="0089272C" w:rsidP="00D37B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716">
        <w:rPr>
          <w:rFonts w:ascii="Arial" w:hAnsi="Arial" w:cs="Arial"/>
          <w:sz w:val="22"/>
          <w:szCs w:val="22"/>
        </w:rPr>
        <w:t>If you indicate your company does not have a USDOT Number, you will see a message to make sure that your company does not need one.</w:t>
      </w:r>
    </w:p>
    <w:p w14:paraId="49AB0851" w14:textId="0EF2BD30" w:rsidR="00B51716" w:rsidRDefault="00B51716" w:rsidP="00B5171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716">
        <w:rPr>
          <w:rFonts w:ascii="Arial" w:hAnsi="Arial" w:cs="Arial"/>
          <w:sz w:val="22"/>
          <w:szCs w:val="22"/>
        </w:rPr>
        <w:t xml:space="preserve">Review your company’s information. You will need to indicate whether you are an owner-operator (that is, an employer that employs himself or herself as a CDL driver, typically a single-driver operation). Make a selection and click </w:t>
      </w:r>
      <w:r w:rsidRPr="00B51716">
        <w:rPr>
          <w:rFonts w:ascii="Arial" w:hAnsi="Arial" w:cs="Arial"/>
          <w:b/>
          <w:bCs/>
          <w:sz w:val="22"/>
          <w:szCs w:val="22"/>
        </w:rPr>
        <w:t>Next</w:t>
      </w:r>
      <w:r w:rsidRPr="00B51716">
        <w:rPr>
          <w:rFonts w:ascii="Arial" w:hAnsi="Arial" w:cs="Arial"/>
          <w:sz w:val="22"/>
          <w:szCs w:val="22"/>
        </w:rPr>
        <w:t>.</w:t>
      </w:r>
    </w:p>
    <w:p w14:paraId="11509F60" w14:textId="514613D6" w:rsidR="00B51716" w:rsidRPr="00B51716" w:rsidRDefault="00B51716" w:rsidP="00B5171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716">
        <w:rPr>
          <w:rFonts w:ascii="Arial" w:hAnsi="Arial" w:cs="Arial"/>
          <w:sz w:val="22"/>
          <w:szCs w:val="22"/>
        </w:rPr>
        <w:t xml:space="preserve">If you are working with a consortium/third-party administrator (C/TPA), you will need to designate your C/TPA in the Clearinghouse. This allows your C/TPA to access the Clearinghouse on your behalf. </w:t>
      </w:r>
      <w:r w:rsidRPr="00B51716">
        <w:rPr>
          <w:rFonts w:ascii="Arial" w:hAnsi="Arial" w:cs="Arial"/>
          <w:b/>
          <w:bCs/>
          <w:sz w:val="22"/>
          <w:szCs w:val="22"/>
        </w:rPr>
        <w:t>This step is required of all owner-operators.</w:t>
      </w:r>
    </w:p>
    <w:p w14:paraId="3C51AAB4" w14:textId="77777777" w:rsidR="00B51716" w:rsidRDefault="00B51716" w:rsidP="00B51716">
      <w:pPr>
        <w:pStyle w:val="Default"/>
      </w:pPr>
    </w:p>
    <w:p w14:paraId="177F4B90" w14:textId="010B06F0" w:rsidR="00B51716" w:rsidRPr="00B51716" w:rsidRDefault="00B51716" w:rsidP="00E6787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716">
        <w:rPr>
          <w:rFonts w:ascii="Arial" w:hAnsi="Arial" w:cs="Arial"/>
          <w:sz w:val="22"/>
          <w:szCs w:val="22"/>
        </w:rPr>
        <w:lastRenderedPageBreak/>
        <w:t xml:space="preserve">This will generate a list of registered C/TPAs that match your search terms. Locate your C/TPA in the list and click </w:t>
      </w:r>
      <w:r w:rsidRPr="00B51716">
        <w:rPr>
          <w:rFonts w:ascii="Arial" w:hAnsi="Arial" w:cs="Arial"/>
          <w:b/>
          <w:bCs/>
          <w:sz w:val="22"/>
          <w:szCs w:val="22"/>
        </w:rPr>
        <w:t xml:space="preserve">Designate </w:t>
      </w:r>
      <w:r w:rsidRPr="00B51716">
        <w:rPr>
          <w:rFonts w:ascii="Arial" w:hAnsi="Arial" w:cs="Arial"/>
          <w:sz w:val="22"/>
          <w:szCs w:val="22"/>
        </w:rPr>
        <w:t>on the appropriate line.</w:t>
      </w:r>
    </w:p>
    <w:p w14:paraId="39E81520" w14:textId="2B918961" w:rsidR="00B51716" w:rsidRDefault="00B51716" w:rsidP="00B5171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716">
        <w:rPr>
          <w:rFonts w:ascii="Arial" w:hAnsi="Arial" w:cs="Arial"/>
          <w:sz w:val="22"/>
          <w:szCs w:val="22"/>
        </w:rPr>
        <w:t xml:space="preserve">For each C/TPA you designate, you will be prompted to authorize them to perform specific functions on your behalf. The functions available for selection are: </w:t>
      </w:r>
      <w:r w:rsidRPr="00B51716">
        <w:rPr>
          <w:rFonts w:ascii="Arial" w:hAnsi="Arial" w:cs="Arial"/>
          <w:b/>
          <w:bCs/>
          <w:sz w:val="22"/>
          <w:szCs w:val="22"/>
        </w:rPr>
        <w:t>Report Violations</w:t>
      </w:r>
      <w:r w:rsidRPr="00B51716">
        <w:rPr>
          <w:rFonts w:ascii="Arial" w:hAnsi="Arial" w:cs="Arial"/>
          <w:sz w:val="22"/>
          <w:szCs w:val="22"/>
        </w:rPr>
        <w:t xml:space="preserve">, </w:t>
      </w:r>
      <w:r w:rsidRPr="00B51716">
        <w:rPr>
          <w:rFonts w:ascii="Arial" w:hAnsi="Arial" w:cs="Arial"/>
          <w:b/>
          <w:bCs/>
          <w:sz w:val="22"/>
          <w:szCs w:val="22"/>
        </w:rPr>
        <w:t>Report RTD Information</w:t>
      </w:r>
      <w:r w:rsidRPr="00B51716">
        <w:rPr>
          <w:rFonts w:ascii="Arial" w:hAnsi="Arial" w:cs="Arial"/>
          <w:sz w:val="22"/>
          <w:szCs w:val="22"/>
        </w:rPr>
        <w:t xml:space="preserve">, and </w:t>
      </w:r>
      <w:r w:rsidRPr="00B51716">
        <w:rPr>
          <w:rFonts w:ascii="Arial" w:hAnsi="Arial" w:cs="Arial"/>
          <w:b/>
          <w:bCs/>
          <w:sz w:val="22"/>
          <w:szCs w:val="22"/>
        </w:rPr>
        <w:t>Conduct Queries</w:t>
      </w:r>
      <w:r w:rsidRPr="00B51716">
        <w:rPr>
          <w:rFonts w:ascii="Arial" w:hAnsi="Arial" w:cs="Arial"/>
          <w:sz w:val="22"/>
          <w:szCs w:val="22"/>
        </w:rPr>
        <w:t xml:space="preserve">. Once you have finished designating C/TPA(s) and authorizing them to perform these functions, click </w:t>
      </w:r>
      <w:r w:rsidRPr="00B51716">
        <w:rPr>
          <w:rFonts w:ascii="Arial" w:hAnsi="Arial" w:cs="Arial"/>
          <w:b/>
          <w:bCs/>
          <w:sz w:val="22"/>
          <w:szCs w:val="22"/>
        </w:rPr>
        <w:t>Next</w:t>
      </w:r>
      <w:r w:rsidRPr="00B51716">
        <w:rPr>
          <w:rFonts w:ascii="Arial" w:hAnsi="Arial" w:cs="Arial"/>
          <w:sz w:val="22"/>
          <w:szCs w:val="22"/>
        </w:rPr>
        <w:t>. This will send a request to the C/TPA(s) to confirm your designation.</w:t>
      </w:r>
    </w:p>
    <w:p w14:paraId="09500889" w14:textId="00E2E4AF" w:rsidR="00B51716" w:rsidRPr="00B51716" w:rsidRDefault="00B51716" w:rsidP="00B5171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716">
        <w:rPr>
          <w:rFonts w:ascii="Arial" w:hAnsi="Arial" w:cs="Arial"/>
          <w:sz w:val="22"/>
          <w:szCs w:val="22"/>
        </w:rPr>
        <w:t xml:space="preserve">Review the Clearinghouse Terms and Conditions. </w:t>
      </w:r>
      <w:r w:rsidRPr="00B51716">
        <w:rPr>
          <w:rFonts w:ascii="Arial" w:hAnsi="Arial" w:cs="Arial"/>
          <w:b/>
          <w:bCs/>
          <w:sz w:val="22"/>
          <w:szCs w:val="22"/>
        </w:rPr>
        <w:t xml:space="preserve">Check the box </w:t>
      </w:r>
      <w:r w:rsidRPr="00B51716">
        <w:rPr>
          <w:rFonts w:ascii="Arial" w:hAnsi="Arial" w:cs="Arial"/>
          <w:sz w:val="22"/>
          <w:szCs w:val="22"/>
        </w:rPr>
        <w:t xml:space="preserve">to affirm that the information you provided throughout the registration process is true and that you agree to the terms and conditions and click </w:t>
      </w:r>
      <w:r w:rsidRPr="00B51716">
        <w:rPr>
          <w:rFonts w:ascii="Arial" w:hAnsi="Arial" w:cs="Arial"/>
          <w:b/>
          <w:bCs/>
          <w:sz w:val="22"/>
          <w:szCs w:val="22"/>
        </w:rPr>
        <w:t>I Agree</w:t>
      </w:r>
      <w:r w:rsidRPr="00B51716">
        <w:rPr>
          <w:rFonts w:ascii="Arial" w:hAnsi="Arial" w:cs="Arial"/>
          <w:sz w:val="22"/>
          <w:szCs w:val="22"/>
        </w:rPr>
        <w:t>.</w:t>
      </w:r>
    </w:p>
    <w:p w14:paraId="11958A58" w14:textId="1B6BB7E9" w:rsidR="0089272C" w:rsidRDefault="0089272C" w:rsidP="0089272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F3F6E9E" w14:textId="77777777" w:rsidR="00B51716" w:rsidRDefault="00B51716" w:rsidP="00B51716">
      <w:pPr>
        <w:pStyle w:val="Default"/>
      </w:pPr>
    </w:p>
    <w:p w14:paraId="5F8372BF" w14:textId="77777777" w:rsidR="00B51716" w:rsidRDefault="00B51716" w:rsidP="00B51716">
      <w:pPr>
        <w:pStyle w:val="Pa15"/>
        <w:spacing w:after="134"/>
        <w:ind w:left="360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Your Clearinghouse registration is complete. </w:t>
      </w:r>
    </w:p>
    <w:p w14:paraId="0E7B312D" w14:textId="3A890214" w:rsidR="00B51716" w:rsidRPr="00B51716" w:rsidRDefault="00B51716" w:rsidP="00B51716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B51716">
        <w:rPr>
          <w:rFonts w:ascii="Arial" w:hAnsi="Arial" w:cs="Arial"/>
          <w:sz w:val="22"/>
          <w:szCs w:val="22"/>
        </w:rPr>
        <w:t>You will be directed to your Dashboard, a logged-in homepage for your Clearinghouse activity. This is where you will come to designate C/TPAs, invite and manage Clearinghouse Assistants, report drug and alcohol program violations, conduct queries, and purchase query plans.</w:t>
      </w:r>
    </w:p>
    <w:p w14:paraId="35217968" w14:textId="603B50D6" w:rsidR="00B51716" w:rsidRDefault="00B51716" w:rsidP="00B51716">
      <w:pPr>
        <w:pStyle w:val="ListParagraph"/>
        <w:ind w:left="1080"/>
        <w:rPr>
          <w:rFonts w:cs="Proxima Nova Rg"/>
          <w:sz w:val="20"/>
          <w:szCs w:val="20"/>
        </w:rPr>
      </w:pPr>
    </w:p>
    <w:p w14:paraId="5E991B93" w14:textId="77777777" w:rsidR="00B51716" w:rsidRPr="00B51716" w:rsidRDefault="00B51716" w:rsidP="00B5171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45BBAB1" w14:textId="77777777" w:rsidR="00834293" w:rsidRDefault="00834293" w:rsidP="00B51716">
      <w:r>
        <w:t xml:space="preserve">After completing your registration, the next step is to purchase query plans. </w:t>
      </w:r>
    </w:p>
    <w:p w14:paraId="406D6EEC" w14:textId="2D4BE9F9" w:rsidR="00AF5384" w:rsidRDefault="00834293" w:rsidP="00B51716">
      <w:bookmarkStart w:id="0" w:name="_GoBack"/>
      <w:bookmarkEnd w:id="0"/>
      <w:r>
        <w:t xml:space="preserve">Select this link: </w:t>
      </w:r>
      <w:r w:rsidR="0052015E">
        <w:t xml:space="preserve"> </w:t>
      </w:r>
      <w:hyperlink r:id="rId8" w:history="1">
        <w:r w:rsidR="0052015E" w:rsidRPr="0052015E">
          <w:rPr>
            <w:rStyle w:val="Hyperlink"/>
          </w:rPr>
          <w:t>query plans pricing</w:t>
        </w:r>
      </w:hyperlink>
    </w:p>
    <w:p w14:paraId="63DB984F" w14:textId="076DA9D3" w:rsidR="003E4BBB" w:rsidRDefault="003E4BBB"/>
    <w:sectPr w:rsidR="003E4BBB" w:rsidSect="00D76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roxima Nova Rg">
    <w:altName w:val="Tahoma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329"/>
    <w:multiLevelType w:val="hybridMultilevel"/>
    <w:tmpl w:val="786099DE"/>
    <w:lvl w:ilvl="0" w:tplc="6442B118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B4917"/>
    <w:multiLevelType w:val="hybridMultilevel"/>
    <w:tmpl w:val="9C9A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132B"/>
    <w:multiLevelType w:val="multilevel"/>
    <w:tmpl w:val="21DE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A2842"/>
    <w:multiLevelType w:val="multilevel"/>
    <w:tmpl w:val="786099DE"/>
    <w:lvl w:ilvl="0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43331"/>
    <w:multiLevelType w:val="multilevel"/>
    <w:tmpl w:val="0020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90FE7"/>
    <w:multiLevelType w:val="hybridMultilevel"/>
    <w:tmpl w:val="4D2E3072"/>
    <w:lvl w:ilvl="0" w:tplc="6442B118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A3121"/>
    <w:multiLevelType w:val="hybridMultilevel"/>
    <w:tmpl w:val="1D0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25E6A"/>
    <w:multiLevelType w:val="hybridMultilevel"/>
    <w:tmpl w:val="4D2E3072"/>
    <w:lvl w:ilvl="0" w:tplc="6442B118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7E"/>
    <w:rsid w:val="000D4567"/>
    <w:rsid w:val="00246314"/>
    <w:rsid w:val="00273A8E"/>
    <w:rsid w:val="003E4BBB"/>
    <w:rsid w:val="00462FF9"/>
    <w:rsid w:val="004B4EA8"/>
    <w:rsid w:val="0052015E"/>
    <w:rsid w:val="00764D5E"/>
    <w:rsid w:val="00834293"/>
    <w:rsid w:val="0089272C"/>
    <w:rsid w:val="00933BA9"/>
    <w:rsid w:val="00A651D4"/>
    <w:rsid w:val="00AF5384"/>
    <w:rsid w:val="00B0747E"/>
    <w:rsid w:val="00B51716"/>
    <w:rsid w:val="00BD1AFC"/>
    <w:rsid w:val="00C0570B"/>
    <w:rsid w:val="00D2631B"/>
    <w:rsid w:val="00D76D46"/>
    <w:rsid w:val="00DD4564"/>
    <w:rsid w:val="00E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19C5B"/>
  <w14:defaultImageDpi w14:val="32767"/>
  <w15:chartTrackingRefBased/>
  <w15:docId w15:val="{E69FECA8-A752-0744-9E0D-D8CFBB1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3BA9"/>
  </w:style>
  <w:style w:type="paragraph" w:styleId="Heading3">
    <w:name w:val="heading 3"/>
    <w:basedOn w:val="Normal"/>
    <w:link w:val="Heading3Char"/>
    <w:uiPriority w:val="9"/>
    <w:qFormat/>
    <w:rsid w:val="00933BA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3BA9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74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74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5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26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31B"/>
    <w:pPr>
      <w:ind w:left="720"/>
      <w:contextualSpacing/>
    </w:pPr>
  </w:style>
  <w:style w:type="paragraph" w:customStyle="1" w:styleId="Default">
    <w:name w:val="Default"/>
    <w:rsid w:val="000D4567"/>
    <w:pPr>
      <w:autoSpaceDE w:val="0"/>
      <w:autoSpaceDN w:val="0"/>
      <w:adjustRightInd w:val="0"/>
    </w:pPr>
    <w:rPr>
      <w:rFonts w:ascii="Proxima Nova Rg" w:hAnsi="Proxima Nova Rg" w:cs="Proxima Nova Rg"/>
      <w:color w:val="000000"/>
    </w:rPr>
  </w:style>
  <w:style w:type="paragraph" w:customStyle="1" w:styleId="Pa10">
    <w:name w:val="Pa10"/>
    <w:basedOn w:val="Default"/>
    <w:next w:val="Default"/>
    <w:uiPriority w:val="99"/>
    <w:rsid w:val="0089272C"/>
    <w:pPr>
      <w:spacing w:line="26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B51716"/>
    <w:pPr>
      <w:spacing w:line="3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238">
          <w:marLeft w:val="0"/>
          <w:marRight w:val="375"/>
          <w:marTop w:val="0"/>
          <w:marBottom w:val="375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ringhouse.fmcsa.dot.gov/Resource/Index/Query-Pl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earinghouse.fmcsa.dot.gov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fr.gov/cgi-bin/retrieveECFR?gp=1&amp;ty=HTML&amp;h=L&amp;mc=true&amp;=PART&amp;n=pt49.5.382" TargetMode="External"/><Relationship Id="rId5" Type="http://schemas.openxmlformats.org/officeDocument/2006/relationships/hyperlink" Target="https://clearinghouse.fmcsa.dot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Palmer</dc:creator>
  <cp:keywords/>
  <dc:description/>
  <cp:lastModifiedBy>Pete Japikse</cp:lastModifiedBy>
  <cp:revision>3</cp:revision>
  <dcterms:created xsi:type="dcterms:W3CDTF">2019-10-24T18:20:00Z</dcterms:created>
  <dcterms:modified xsi:type="dcterms:W3CDTF">2019-11-21T20:01:00Z</dcterms:modified>
</cp:coreProperties>
</file>